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B1A" w:rsidRDefault="001E63C9" w:rsidP="001E63C9">
      <w:pPr>
        <w:widowControl/>
        <w:shd w:val="clear" w:color="auto" w:fill="FFFFFF"/>
        <w:spacing w:after="100" w:afterAutospacing="1"/>
        <w:outlineLvl w:val="1"/>
        <w:rPr>
          <w:rFonts w:ascii="Segoe UI" w:eastAsia="新細明體" w:hAnsi="Segoe UI" w:cs="Segoe UI"/>
          <w:color w:val="202020"/>
          <w:kern w:val="0"/>
          <w:sz w:val="36"/>
          <w:szCs w:val="36"/>
        </w:rPr>
      </w:pPr>
      <w:r w:rsidRPr="001E63C9">
        <w:rPr>
          <w:rFonts w:ascii="Segoe UI" w:eastAsia="新細明體" w:hAnsi="Segoe UI" w:cs="Segoe UI"/>
          <w:color w:val="202020"/>
          <w:kern w:val="0"/>
          <w:sz w:val="36"/>
          <w:szCs w:val="36"/>
        </w:rPr>
        <w:fldChar w:fldCharType="begin"/>
      </w:r>
      <w:r w:rsidRPr="001E63C9">
        <w:rPr>
          <w:rFonts w:ascii="Segoe UI" w:eastAsia="新細明體" w:hAnsi="Segoe UI" w:cs="Segoe UI"/>
          <w:color w:val="202020"/>
          <w:kern w:val="0"/>
          <w:sz w:val="36"/>
          <w:szCs w:val="36"/>
        </w:rPr>
        <w:instrText xml:space="preserve"> HYPERLINK "http://www.caes.tyc.edu.tw/modules/tadnews/index.php?nsn=98" </w:instrText>
      </w:r>
      <w:r w:rsidRPr="001E63C9">
        <w:rPr>
          <w:rFonts w:ascii="Segoe UI" w:eastAsia="新細明體" w:hAnsi="Segoe UI" w:cs="Segoe UI"/>
          <w:color w:val="202020"/>
          <w:kern w:val="0"/>
          <w:sz w:val="36"/>
          <w:szCs w:val="36"/>
        </w:rPr>
        <w:fldChar w:fldCharType="separate"/>
      </w:r>
      <w:r w:rsidRPr="001E63C9">
        <w:rPr>
          <w:rFonts w:ascii="Segoe UI" w:eastAsia="新細明體" w:hAnsi="Segoe UI" w:cs="Segoe UI"/>
          <w:color w:val="005CA8"/>
          <w:kern w:val="0"/>
          <w:sz w:val="36"/>
          <w:szCs w:val="36"/>
        </w:rPr>
        <w:t>認識失智症及長照服務之內容之相關補充教材網站</w:t>
      </w:r>
      <w:r w:rsidRPr="001E63C9">
        <w:rPr>
          <w:rFonts w:ascii="Segoe UI" w:eastAsia="新細明體" w:hAnsi="Segoe UI" w:cs="Segoe UI"/>
          <w:color w:val="202020"/>
          <w:kern w:val="0"/>
          <w:sz w:val="36"/>
          <w:szCs w:val="36"/>
        </w:rPr>
        <w:fldChar w:fldCharType="end"/>
      </w:r>
    </w:p>
    <w:p w:rsidR="001E63C9" w:rsidRDefault="001E63C9" w:rsidP="001E63C9">
      <w:pPr>
        <w:pStyle w:val="Web"/>
      </w:pPr>
      <w:r>
        <w:rPr>
          <w:rFonts w:hint="eastAsia"/>
        </w:rPr>
        <w:t>臺灣已邁入高齡化社會，</w:t>
      </w:r>
      <w:r>
        <w:t>65</w:t>
      </w:r>
      <w:r>
        <w:rPr>
          <w:rFonts w:hint="eastAsia"/>
        </w:rPr>
        <w:t>歲以上老人失智症盛行率逐漸攀升，認識失智教育應從學校開始扎根，讓學生能發揮觀察、提醒的功能幫助家中的長輩，並且把認識失智症及長照服務相關資訊也告訴家中的大人，共同打造一個能預防及延緩失智的友善社區。</w:t>
      </w:r>
    </w:p>
    <w:p w:rsidR="001E63C9" w:rsidRDefault="001E63C9" w:rsidP="001E63C9">
      <w:pPr>
        <w:pStyle w:val="Web"/>
      </w:pPr>
      <w:r>
        <w:rPr>
          <w:rFonts w:hint="eastAsia"/>
        </w:rPr>
        <w:t>在既有健康教育課程增加認識失智症及長照服務之內容，相關補充教材可</w:t>
      </w:r>
      <w:proofErr w:type="gramStart"/>
      <w:r>
        <w:rPr>
          <w:rFonts w:hint="eastAsia"/>
        </w:rPr>
        <w:t>逕</w:t>
      </w:r>
      <w:proofErr w:type="gramEnd"/>
      <w:r>
        <w:rPr>
          <w:rFonts w:hint="eastAsia"/>
        </w:rPr>
        <w:t>至以下網站下載運用：</w:t>
      </w:r>
    </w:p>
    <w:p w:rsidR="001E63C9" w:rsidRDefault="001E63C9" w:rsidP="001E63C9">
      <w:pPr>
        <w:pStyle w:val="Web"/>
      </w:pPr>
      <w:r>
        <w:t>(</w:t>
      </w:r>
      <w:proofErr w:type="gramStart"/>
      <w:r>
        <w:rPr>
          <w:rFonts w:hint="eastAsia"/>
        </w:rPr>
        <w:t>一</w:t>
      </w:r>
      <w:proofErr w:type="gramEnd"/>
      <w:r>
        <w:t>)</w:t>
      </w:r>
      <w:r>
        <w:rPr>
          <w:rFonts w:hint="eastAsia"/>
        </w:rPr>
        <w:t>為提升民眾對於長照服務及申請流程認知，</w:t>
      </w:r>
      <w:proofErr w:type="gramStart"/>
      <w:r>
        <w:rPr>
          <w:rFonts w:hint="eastAsia"/>
        </w:rPr>
        <w:t>衛福部</w:t>
      </w:r>
      <w:proofErr w:type="gramEnd"/>
      <w:r>
        <w:rPr>
          <w:rFonts w:hint="eastAsia"/>
        </w:rPr>
        <w:t>製作多元宣傳影片及相關文宣素材，並置於</w:t>
      </w:r>
      <w:proofErr w:type="gramStart"/>
      <w:r>
        <w:rPr>
          <w:rFonts w:hint="eastAsia"/>
        </w:rPr>
        <w:t>官網長</w:t>
      </w:r>
      <w:proofErr w:type="gramEnd"/>
      <w:r>
        <w:rPr>
          <w:rFonts w:hint="eastAsia"/>
        </w:rPr>
        <w:t>照專區，網址：</w:t>
      </w:r>
      <w:r>
        <w:t>https://goo.gl/AHoSbg</w:t>
      </w:r>
    </w:p>
    <w:p w:rsidR="001E63C9" w:rsidRDefault="001E63C9" w:rsidP="001E63C9">
      <w:pPr>
        <w:pStyle w:val="Web"/>
        <w:spacing w:after="240" w:afterAutospacing="0"/>
      </w:pPr>
      <w:r>
        <w:t>(</w:t>
      </w:r>
      <w:r>
        <w:rPr>
          <w:rFonts w:hint="eastAsia"/>
        </w:rPr>
        <w:t>二</w:t>
      </w:r>
      <w:r>
        <w:t>)</w:t>
      </w:r>
      <w:r>
        <w:rPr>
          <w:rFonts w:hint="eastAsia"/>
        </w:rPr>
        <w:t>衛生局</w:t>
      </w:r>
      <w:r>
        <w:t>-</w:t>
      </w:r>
      <w:r>
        <w:rPr>
          <w:rFonts w:hint="eastAsia"/>
        </w:rPr>
        <w:t>長期照護全球資訊網，提供認識失智症及照護資源相關資訊，網址：</w:t>
      </w:r>
      <w:r>
        <w:t>http://dph.tycg.gov.tw/care/home.jsp?id=66&amp;parentpath=0</w:t>
      </w:r>
    </w:p>
    <w:p w:rsidR="001E63C9" w:rsidRPr="001E63C9" w:rsidRDefault="001E63C9" w:rsidP="001E63C9">
      <w:pPr>
        <w:widowControl/>
        <w:shd w:val="clear" w:color="auto" w:fill="FFFFFF"/>
        <w:spacing w:after="100" w:afterAutospacing="1"/>
        <w:outlineLvl w:val="1"/>
      </w:pPr>
      <w:bookmarkStart w:id="0" w:name="_GoBack"/>
      <w:bookmarkEnd w:id="0"/>
    </w:p>
    <w:sectPr w:rsidR="001E63C9" w:rsidRPr="001E63C9" w:rsidSect="001E63C9">
      <w:pgSz w:w="11906" w:h="16838"/>
      <w:pgMar w:top="1440" w:right="991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3C9"/>
    <w:rsid w:val="001E63C9"/>
    <w:rsid w:val="006E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D288F-0800-4B03-BDAC-83243174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1E63C9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1E63C9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E63C9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E63C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2019-09-19T15:59:00Z</dcterms:created>
  <dcterms:modified xsi:type="dcterms:W3CDTF">2019-09-19T16:00:00Z</dcterms:modified>
</cp:coreProperties>
</file>